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A87CE8">
        <w:rPr>
          <w:rFonts w:ascii="Times New Roman" w:hAnsi="Times New Roman"/>
          <w:b/>
          <w:sz w:val="24"/>
          <w:szCs w:val="24"/>
        </w:rPr>
        <w:t>ИНИЦИАТОРОВ</w:t>
      </w:r>
      <w:r w:rsidR="001E2BE6">
        <w:rPr>
          <w:rFonts w:ascii="Times New Roman" w:hAnsi="Times New Roman"/>
          <w:b/>
          <w:sz w:val="24"/>
          <w:szCs w:val="24"/>
        </w:rPr>
        <w:t xml:space="preserve">, </w:t>
      </w:r>
      <w:r w:rsidR="00A87CE8">
        <w:rPr>
          <w:rFonts w:ascii="Times New Roman" w:hAnsi="Times New Roman"/>
          <w:b/>
          <w:sz w:val="24"/>
          <w:szCs w:val="24"/>
        </w:rPr>
        <w:t>29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B84050">
        <w:rPr>
          <w:rFonts w:ascii="Times New Roman" w:hAnsi="Times New Roman"/>
          <w:sz w:val="24"/>
          <w:szCs w:val="24"/>
        </w:rPr>
        <w:t>2</w:t>
      </w:r>
      <w:r w:rsidR="00A87CE8">
        <w:rPr>
          <w:rFonts w:ascii="Times New Roman" w:hAnsi="Times New Roman"/>
          <w:sz w:val="24"/>
          <w:szCs w:val="24"/>
        </w:rPr>
        <w:t>1</w:t>
      </w:r>
      <w:r w:rsidR="00473474">
        <w:rPr>
          <w:rFonts w:ascii="Times New Roman" w:hAnsi="Times New Roman"/>
          <w:sz w:val="24"/>
          <w:szCs w:val="24"/>
        </w:rPr>
        <w:t>.</w:t>
      </w:r>
      <w:r w:rsidR="004D3F67">
        <w:rPr>
          <w:rFonts w:ascii="Times New Roman" w:hAnsi="Times New Roman"/>
          <w:sz w:val="24"/>
          <w:szCs w:val="24"/>
        </w:rPr>
        <w:t>0</w:t>
      </w:r>
      <w:r w:rsidR="00A87CE8">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A87CE8">
        <w:rPr>
          <w:rFonts w:ascii="Times New Roman" w:hAnsi="Times New Roman"/>
          <w:sz w:val="24"/>
          <w:szCs w:val="24"/>
        </w:rPr>
        <w:t>133</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A87CE8">
        <w:rPr>
          <w:rFonts w:ascii="Times New Roman" w:hAnsi="Times New Roman"/>
          <w:sz w:val="24"/>
          <w:szCs w:val="24"/>
        </w:rPr>
        <w:t>Инициаторов</w:t>
      </w:r>
      <w:r w:rsidR="001E2BE6">
        <w:rPr>
          <w:rFonts w:ascii="Times New Roman" w:hAnsi="Times New Roman"/>
          <w:sz w:val="24"/>
          <w:szCs w:val="24"/>
        </w:rPr>
        <w:t xml:space="preserve">, </w:t>
      </w:r>
      <w:r w:rsidR="00A87CE8">
        <w:rPr>
          <w:rFonts w:ascii="Times New Roman" w:hAnsi="Times New Roman"/>
          <w:sz w:val="24"/>
          <w:szCs w:val="24"/>
        </w:rPr>
        <w:t>29</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Default="001E2BE6" w:rsidP="00DC2E15">
      <w:pPr>
        <w:spacing w:after="0" w:line="240" w:lineRule="auto"/>
        <w:ind w:firstLine="709"/>
        <w:jc w:val="both"/>
        <w:rPr>
          <w:rFonts w:ascii="Times New Roman" w:hAnsi="Times New Roman"/>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одноэтажное</w:t>
      </w:r>
      <w:r w:rsidRPr="000E470E">
        <w:rPr>
          <w:rFonts w:ascii="Times New Roman" w:hAnsi="Times New Roman"/>
          <w:sz w:val="24"/>
          <w:szCs w:val="24"/>
        </w:rPr>
        <w:t xml:space="preserve"> нежилое здание  19</w:t>
      </w:r>
      <w:r w:rsidR="00A87CE8">
        <w:rPr>
          <w:rFonts w:ascii="Times New Roman" w:hAnsi="Times New Roman"/>
          <w:sz w:val="24"/>
          <w:szCs w:val="24"/>
        </w:rPr>
        <w:t>59</w:t>
      </w:r>
      <w:r w:rsidRPr="000E470E">
        <w:rPr>
          <w:rFonts w:ascii="Times New Roman" w:hAnsi="Times New Roman"/>
          <w:sz w:val="24"/>
          <w:szCs w:val="24"/>
        </w:rPr>
        <w:t xml:space="preserve"> года постройки общей площадью </w:t>
      </w:r>
      <w:r w:rsidR="00A87CE8">
        <w:rPr>
          <w:rFonts w:ascii="Times New Roman" w:hAnsi="Times New Roman"/>
          <w:sz w:val="24"/>
          <w:szCs w:val="24"/>
        </w:rPr>
        <w:t>338,8</w:t>
      </w:r>
      <w:r w:rsidRPr="000E470E">
        <w:rPr>
          <w:rFonts w:ascii="Times New Roman" w:hAnsi="Times New Roman"/>
          <w:sz w:val="24"/>
          <w:szCs w:val="24"/>
        </w:rPr>
        <w:t xml:space="preserve"> кв. м, </w:t>
      </w:r>
      <w:r>
        <w:rPr>
          <w:rFonts w:ascii="Times New Roman" w:hAnsi="Times New Roman"/>
          <w:sz w:val="24"/>
          <w:szCs w:val="24"/>
        </w:rPr>
        <w:t>с кадастровым номером 24:50:</w:t>
      </w:r>
      <w:r w:rsidR="00A87CE8">
        <w:rPr>
          <w:rFonts w:ascii="Times New Roman" w:hAnsi="Times New Roman"/>
          <w:sz w:val="24"/>
          <w:szCs w:val="24"/>
        </w:rPr>
        <w:t>0500295:89</w:t>
      </w:r>
      <w:r>
        <w:rPr>
          <w:rFonts w:ascii="Times New Roman" w:hAnsi="Times New Roman"/>
          <w:sz w:val="24"/>
          <w:szCs w:val="24"/>
        </w:rPr>
        <w:t xml:space="preserve"> </w:t>
      </w:r>
      <w:r w:rsidRPr="000E470E">
        <w:rPr>
          <w:rFonts w:ascii="Times New Roman" w:hAnsi="Times New Roman"/>
          <w:sz w:val="24"/>
          <w:szCs w:val="24"/>
        </w:rPr>
        <w:t>расположено по адресу:</w:t>
      </w:r>
      <w:r>
        <w:rPr>
          <w:rFonts w:ascii="Times New Roman" w:hAnsi="Times New Roman"/>
          <w:sz w:val="24"/>
          <w:szCs w:val="24"/>
        </w:rPr>
        <w:t xml:space="preserve"> </w:t>
      </w:r>
      <w:r w:rsidRPr="000E470E">
        <w:rPr>
          <w:rFonts w:ascii="Times New Roman" w:hAnsi="Times New Roman"/>
          <w:sz w:val="24"/>
          <w:szCs w:val="24"/>
        </w:rPr>
        <w:t xml:space="preserve">г. Красноярск, </w:t>
      </w:r>
      <w:r>
        <w:rPr>
          <w:rFonts w:ascii="Times New Roman" w:hAnsi="Times New Roman"/>
          <w:sz w:val="24"/>
          <w:szCs w:val="24"/>
        </w:rPr>
        <w:t xml:space="preserve">         </w:t>
      </w:r>
      <w:r w:rsidRPr="000E470E">
        <w:rPr>
          <w:rFonts w:ascii="Times New Roman" w:hAnsi="Times New Roman"/>
          <w:sz w:val="24"/>
          <w:szCs w:val="24"/>
        </w:rPr>
        <w:t xml:space="preserve">ул. </w:t>
      </w:r>
      <w:r w:rsidR="00A87CE8">
        <w:rPr>
          <w:rFonts w:ascii="Times New Roman" w:hAnsi="Times New Roman"/>
          <w:sz w:val="24"/>
          <w:szCs w:val="24"/>
        </w:rPr>
        <w:t>Инициаторов, 29</w:t>
      </w:r>
      <w:r w:rsidRPr="001E2BE6">
        <w:rPr>
          <w:rFonts w:ascii="Times New Roman" w:hAnsi="Times New Roman"/>
          <w:sz w:val="24"/>
          <w:szCs w:val="24"/>
        </w:rPr>
        <w:t>;</w:t>
      </w:r>
    </w:p>
    <w:p w:rsidR="001E2BE6" w:rsidRPr="00DC2E15" w:rsidRDefault="001E2BE6" w:rsidP="00DC2E15">
      <w:pPr>
        <w:autoSpaceDE w:val="0"/>
        <w:autoSpaceDN w:val="0"/>
        <w:adjustRightInd w:val="0"/>
        <w:spacing w:after="0" w:line="240" w:lineRule="auto"/>
        <w:ind w:firstLine="708"/>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sidR="00A87CE8">
        <w:rPr>
          <w:rFonts w:ascii="Times New Roman" w:hAnsi="Times New Roman"/>
          <w:sz w:val="24"/>
          <w:szCs w:val="24"/>
        </w:rPr>
        <w:t>945</w:t>
      </w:r>
      <w:r w:rsidRPr="00EC4905">
        <w:rPr>
          <w:rFonts w:ascii="Times New Roman" w:hAnsi="Times New Roman"/>
          <w:sz w:val="24"/>
          <w:szCs w:val="24"/>
        </w:rPr>
        <w:t xml:space="preserve"> кв. м, с кадастровым номером 24:50:</w:t>
      </w:r>
      <w:r w:rsidR="00A87CE8">
        <w:rPr>
          <w:rFonts w:ascii="Times New Roman" w:hAnsi="Times New Roman"/>
          <w:sz w:val="24"/>
          <w:szCs w:val="24"/>
        </w:rPr>
        <w:t>0500295:756</w:t>
      </w:r>
      <w:r>
        <w:rPr>
          <w:rFonts w:ascii="Times New Roman" w:hAnsi="Times New Roman"/>
          <w:sz w:val="24"/>
          <w:szCs w:val="24"/>
        </w:rPr>
        <w:t>,</w:t>
      </w:r>
      <w:r w:rsidRPr="00EC4905">
        <w:rPr>
          <w:rFonts w:ascii="Times New Roman" w:hAnsi="Times New Roman"/>
          <w:sz w:val="24"/>
          <w:szCs w:val="24"/>
        </w:rPr>
        <w:t xml:space="preserve"> по адресу: г. </w:t>
      </w:r>
      <w:r w:rsidRPr="00DC2E15">
        <w:rPr>
          <w:rFonts w:ascii="Times New Roman" w:hAnsi="Times New Roman"/>
          <w:sz w:val="24"/>
          <w:szCs w:val="24"/>
        </w:rPr>
        <w:t xml:space="preserve">Красноярск, ул. </w:t>
      </w:r>
      <w:r w:rsidR="00A87CE8">
        <w:rPr>
          <w:rFonts w:ascii="Times New Roman" w:hAnsi="Times New Roman"/>
          <w:sz w:val="24"/>
          <w:szCs w:val="24"/>
        </w:rPr>
        <w:t>Инициаторов</w:t>
      </w:r>
      <w:r w:rsidRPr="00DC2E15">
        <w:rPr>
          <w:rFonts w:ascii="Times New Roman" w:hAnsi="Times New Roman"/>
          <w:sz w:val="24"/>
          <w:szCs w:val="24"/>
        </w:rPr>
        <w:t xml:space="preserve">, земельный участок </w:t>
      </w:r>
      <w:r w:rsidR="00A87CE8">
        <w:rPr>
          <w:rFonts w:ascii="Times New Roman" w:hAnsi="Times New Roman"/>
          <w:sz w:val="24"/>
          <w:szCs w:val="24"/>
        </w:rPr>
        <w:t>29</w:t>
      </w:r>
      <w:r w:rsidRPr="00DC2E15">
        <w:rPr>
          <w:rFonts w:ascii="Times New Roman" w:hAnsi="Times New Roman"/>
          <w:sz w:val="24"/>
          <w:szCs w:val="24"/>
        </w:rPr>
        <w:t xml:space="preserve">, на котором расположено вышеуказанное нежилое здание. Категория земель: земли населенных пунктов. Виды разрешенного использования: </w:t>
      </w:r>
      <w:r w:rsidR="00A87CE8">
        <w:rPr>
          <w:rFonts w:ascii="Times New Roman" w:hAnsi="Times New Roman"/>
          <w:sz w:val="24"/>
          <w:szCs w:val="24"/>
        </w:rPr>
        <w:t>размещение административных объектов</w:t>
      </w:r>
      <w:r w:rsidRPr="00DC2E15">
        <w:rPr>
          <w:rFonts w:ascii="Times New Roman" w:hAnsi="Times New Roman"/>
          <w:sz w:val="24"/>
          <w:szCs w:val="24"/>
        </w:rPr>
        <w:t xml:space="preserve">. Территориальная зона и зоны с особыми условиями использования территорий: </w:t>
      </w:r>
      <w:r w:rsidR="00115DF6">
        <w:rPr>
          <w:rFonts w:ascii="Times New Roman" w:hAnsi="Times New Roman"/>
          <w:sz w:val="24"/>
          <w:szCs w:val="24"/>
        </w:rPr>
        <w:t>СОДЖ-1</w:t>
      </w:r>
      <w:r w:rsidR="00DC2E15" w:rsidRPr="00DC2E15">
        <w:rPr>
          <w:rFonts w:ascii="Times New Roman" w:hAnsi="Times New Roman"/>
          <w:sz w:val="24"/>
          <w:szCs w:val="24"/>
        </w:rPr>
        <w:t xml:space="preserve"> (зона </w:t>
      </w:r>
      <w:r w:rsidR="00115DF6">
        <w:rPr>
          <w:rFonts w:ascii="Times New Roman" w:hAnsi="Times New Roman"/>
          <w:sz w:val="24"/>
          <w:szCs w:val="24"/>
        </w:rPr>
        <w:t xml:space="preserve">смешанной общественно-деловой и </w:t>
      </w:r>
      <w:proofErr w:type="spellStart"/>
      <w:r w:rsidR="00115DF6">
        <w:rPr>
          <w:rFonts w:ascii="Times New Roman" w:hAnsi="Times New Roman"/>
          <w:sz w:val="24"/>
          <w:szCs w:val="24"/>
        </w:rPr>
        <w:t>среднеэтажной</w:t>
      </w:r>
      <w:proofErr w:type="spellEnd"/>
      <w:r w:rsidR="00115DF6">
        <w:rPr>
          <w:rFonts w:ascii="Times New Roman" w:hAnsi="Times New Roman"/>
          <w:sz w:val="24"/>
          <w:szCs w:val="24"/>
        </w:rPr>
        <w:t xml:space="preserve"> жилой застройки</w:t>
      </w:r>
      <w:r w:rsidR="00DC2E15" w:rsidRPr="00DC2E15">
        <w:rPr>
          <w:rFonts w:ascii="Times New Roman" w:hAnsi="Times New Roman"/>
          <w:sz w:val="24"/>
          <w:szCs w:val="24"/>
        </w:rPr>
        <w:t>)</w:t>
      </w:r>
      <w:r w:rsidRPr="00DC2E15">
        <w:rPr>
          <w:rFonts w:ascii="Times New Roman" w:hAnsi="Times New Roman"/>
          <w:sz w:val="24"/>
          <w:szCs w:val="24"/>
        </w:rPr>
        <w:t>.</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E86C83">
        <w:rPr>
          <w:rFonts w:ascii="Times New Roman" w:hAnsi="Times New Roman"/>
          <w:bCs/>
          <w:sz w:val="24"/>
          <w:szCs w:val="24"/>
        </w:rPr>
        <w:t>торги, назначенные на 02.04.2024, состоялись.</w:t>
      </w:r>
      <w:proofErr w:type="gramStart"/>
      <w:r w:rsidR="00E86C83">
        <w:rPr>
          <w:rFonts w:ascii="Times New Roman" w:hAnsi="Times New Roman"/>
          <w:bCs/>
          <w:sz w:val="24"/>
          <w:szCs w:val="24"/>
        </w:rPr>
        <w:t xml:space="preserve"> </w:t>
      </w:r>
      <w:proofErr w:type="gramEnd"/>
      <w:r w:rsidR="00E86C83">
        <w:rPr>
          <w:rFonts w:ascii="Times New Roman" w:hAnsi="Times New Roman"/>
          <w:bCs/>
          <w:sz w:val="24"/>
          <w:szCs w:val="24"/>
        </w:rPr>
        <w:t>Покупателем не исполнены обязательства по договору купли-продажи. Договор купли-продажи расторгнут</w:t>
      </w:r>
      <w:r w:rsidR="00B7635D" w:rsidRPr="00DC2E15">
        <w:rPr>
          <w:rFonts w:ascii="Times New Roman" w:hAnsi="Times New Roman"/>
          <w:bCs/>
          <w:sz w:val="24"/>
          <w:szCs w:val="24"/>
        </w:rPr>
        <w:t>.</w:t>
      </w:r>
      <w:bookmarkStart w:id="0" w:name="_GoBack"/>
      <w:bookmarkEnd w:id="0"/>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115DF6">
        <w:t>1 366 000</w:t>
      </w:r>
      <w:r w:rsidR="005B2C70" w:rsidRPr="006A364B">
        <w:t xml:space="preserve"> (</w:t>
      </w:r>
      <w:r w:rsidR="00115DF6">
        <w:t>один миллион триста шестьдесят шесть тысяч</w:t>
      </w:r>
      <w:r w:rsidR="005B2C70" w:rsidRPr="006A364B">
        <w:t xml:space="preserve">) рублей, </w:t>
      </w:r>
      <w:r w:rsidR="00DC2E15">
        <w:t xml:space="preserve">с учетом НДС для нежилого здания, в том числе рыночная стоимость земельного участка – </w:t>
      </w:r>
      <w:r w:rsidR="00115DF6">
        <w:t>830</w:t>
      </w:r>
      <w:r w:rsidR="00DC2E15">
        <w:t> 000 (</w:t>
      </w:r>
      <w:r w:rsidR="00115DF6">
        <w:t>восемьсот тридцать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15DF6">
        <w:rPr>
          <w:rFonts w:ascii="Times New Roman" w:hAnsi="Times New Roman"/>
          <w:sz w:val="24"/>
          <w:szCs w:val="24"/>
        </w:rPr>
        <w:t>68 300</w:t>
      </w:r>
      <w:r w:rsidR="00505076" w:rsidRPr="007A6A43">
        <w:rPr>
          <w:rFonts w:ascii="Times New Roman" w:hAnsi="Times New Roman"/>
          <w:sz w:val="24"/>
          <w:szCs w:val="24"/>
        </w:rPr>
        <w:t xml:space="preserve"> (</w:t>
      </w:r>
      <w:r w:rsidR="00115DF6">
        <w:rPr>
          <w:rFonts w:ascii="Times New Roman" w:hAnsi="Times New Roman"/>
          <w:sz w:val="24"/>
          <w:szCs w:val="24"/>
        </w:rPr>
        <w:t>шестьдесят восемь тысяч триста</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lastRenderedPageBreak/>
        <w:t>1.14. Размер задатка</w:t>
      </w:r>
      <w:r w:rsidRPr="007A6A43">
        <w:t xml:space="preserve"> – </w:t>
      </w:r>
      <w:r w:rsidR="00115DF6">
        <w:t>136 600</w:t>
      </w:r>
      <w:r w:rsidR="00757844" w:rsidRPr="00D421CA">
        <w:t xml:space="preserve"> (</w:t>
      </w:r>
      <w:r w:rsidR="00115DF6">
        <w:t>сто тридцать шесть тысяч шестьсот</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E86C83">
        <w:rPr>
          <w:rFonts w:ascii="Times New Roman" w:hAnsi="Times New Roman"/>
          <w:bCs/>
          <w:sz w:val="24"/>
          <w:szCs w:val="24"/>
          <w:lang w:eastAsia="ru-RU"/>
        </w:rPr>
        <w:t>25</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E86C83">
        <w:rPr>
          <w:rFonts w:ascii="Times New Roman" w:hAnsi="Times New Roman"/>
          <w:bCs/>
          <w:sz w:val="24"/>
          <w:szCs w:val="24"/>
          <w:lang w:eastAsia="ru-RU"/>
        </w:rPr>
        <w:t>5</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E86C83">
        <w:rPr>
          <w:rFonts w:ascii="Times New Roman" w:hAnsi="Times New Roman"/>
          <w:bCs/>
          <w:sz w:val="24"/>
          <w:szCs w:val="24"/>
          <w:lang w:eastAsia="ru-RU"/>
        </w:rPr>
        <w:t>15</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86C83">
        <w:rPr>
          <w:rFonts w:ascii="Times New Roman" w:hAnsi="Times New Roman"/>
          <w:bCs/>
          <w:sz w:val="24"/>
          <w:szCs w:val="24"/>
          <w:lang w:eastAsia="ru-RU"/>
        </w:rPr>
        <w:t>7</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E86C83">
        <w:rPr>
          <w:rFonts w:ascii="Times New Roman" w:hAnsi="Times New Roman"/>
          <w:bCs/>
          <w:sz w:val="24"/>
          <w:szCs w:val="24"/>
          <w:lang w:eastAsia="ru-RU"/>
        </w:rPr>
        <w:t>17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86C83">
        <w:rPr>
          <w:rFonts w:ascii="Times New Roman" w:hAnsi="Times New Roman"/>
          <w:bCs/>
          <w:sz w:val="24"/>
          <w:szCs w:val="24"/>
          <w:lang w:eastAsia="ru-RU"/>
        </w:rPr>
        <w:t>7</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E86C83">
        <w:rPr>
          <w:rFonts w:ascii="Times New Roman" w:hAnsi="Times New Roman"/>
          <w:bCs/>
          <w:sz w:val="24"/>
          <w:szCs w:val="24"/>
          <w:lang w:eastAsia="ru-RU"/>
        </w:rPr>
        <w:t>18</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86C83">
        <w:rPr>
          <w:rFonts w:ascii="Times New Roman" w:hAnsi="Times New Roman"/>
          <w:bCs/>
          <w:sz w:val="24"/>
          <w:szCs w:val="24"/>
          <w:lang w:eastAsia="ru-RU"/>
        </w:rPr>
        <w:t>7</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E86C83">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E86C83">
        <w:rPr>
          <w:sz w:val="24"/>
        </w:rPr>
        <w:t>25</w:t>
      </w:r>
      <w:r w:rsidR="0054303C" w:rsidRPr="00494BFE">
        <w:rPr>
          <w:sz w:val="24"/>
        </w:rPr>
        <w:t>.</w:t>
      </w:r>
      <w:r w:rsidR="00302E63">
        <w:rPr>
          <w:sz w:val="24"/>
        </w:rPr>
        <w:t>0</w:t>
      </w:r>
      <w:r w:rsidR="00E86C83">
        <w:rPr>
          <w:sz w:val="24"/>
        </w:rPr>
        <w:t>5</w:t>
      </w:r>
      <w:r w:rsidR="00101107" w:rsidRPr="00494BFE">
        <w:rPr>
          <w:sz w:val="24"/>
        </w:rPr>
        <w:t>.202</w:t>
      </w:r>
      <w:r w:rsidR="00302E63">
        <w:rPr>
          <w:sz w:val="24"/>
        </w:rPr>
        <w:t>4</w:t>
      </w:r>
      <w:r w:rsidR="00101107" w:rsidRPr="00494BFE">
        <w:rPr>
          <w:sz w:val="24"/>
        </w:rPr>
        <w:t xml:space="preserve"> по </w:t>
      </w:r>
      <w:r w:rsidR="00E86C83">
        <w:rPr>
          <w:sz w:val="24"/>
        </w:rPr>
        <w:t>15</w:t>
      </w:r>
      <w:r w:rsidR="00CE6D1B" w:rsidRPr="00494BFE">
        <w:rPr>
          <w:sz w:val="24"/>
        </w:rPr>
        <w:t>.</w:t>
      </w:r>
      <w:r w:rsidR="00302E63">
        <w:rPr>
          <w:sz w:val="24"/>
        </w:rPr>
        <w:t>0</w:t>
      </w:r>
      <w:r w:rsidR="00E86C83">
        <w:rPr>
          <w:sz w:val="24"/>
        </w:rPr>
        <w:t>7</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3F55B3">
        <w:rPr>
          <w:sz w:val="24"/>
        </w:rPr>
        <w:t>Инициаторов, 29</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w:t>
      </w:r>
      <w:r w:rsidR="005A26F2" w:rsidRPr="00CE4874">
        <w:rPr>
          <w:rFonts w:eastAsiaTheme="minorHAnsi"/>
          <w:b w:val="0"/>
          <w:sz w:val="24"/>
          <w:szCs w:val="24"/>
          <w:lang w:val="ru-RU"/>
        </w:rPr>
        <w:lastRenderedPageBreak/>
        <w:t>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w:t>
      </w:r>
      <w:r w:rsidR="00D37441" w:rsidRPr="00BA7510">
        <w:rPr>
          <w:rFonts w:ascii="Times New Roman" w:hAnsi="Times New Roman"/>
          <w:sz w:val="24"/>
          <w:szCs w:val="24"/>
        </w:rPr>
        <w:lastRenderedPageBreak/>
        <w:t xml:space="preserve">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Осмотр имущества проводится в рабочие дни еженедельно по </w:t>
      </w:r>
      <w:r w:rsidR="00E86C83">
        <w:rPr>
          <w:sz w:val="24"/>
        </w:rPr>
        <w:t>четвергам</w:t>
      </w:r>
      <w:r w:rsidR="007F6850">
        <w:rPr>
          <w:sz w:val="24"/>
        </w:rPr>
        <w:t xml:space="preserve"> с 1</w:t>
      </w:r>
      <w:r w:rsidR="00E86C83">
        <w:rPr>
          <w:sz w:val="24"/>
        </w:rPr>
        <w:t>1</w:t>
      </w:r>
      <w:r w:rsidR="007F6850">
        <w:rPr>
          <w:sz w:val="24"/>
        </w:rPr>
        <w:t>-00 до 1</w:t>
      </w:r>
      <w:r w:rsidR="00E86C83">
        <w:rPr>
          <w:sz w:val="24"/>
        </w:rPr>
        <w:t>1</w:t>
      </w:r>
      <w:r w:rsidR="007F6850">
        <w:rPr>
          <w:sz w:val="24"/>
        </w:rPr>
        <w:t>-</w:t>
      </w:r>
      <w:r w:rsidR="003F55B3">
        <w:rPr>
          <w:sz w:val="24"/>
        </w:rPr>
        <w:t>3</w:t>
      </w:r>
      <w:r w:rsidR="007F6850">
        <w:rPr>
          <w:sz w:val="24"/>
        </w:rPr>
        <w:t xml:space="preserve">0 часов (время красноярское) по предварительной записи. Контактное лицо, ответственное за осмотр </w:t>
      </w:r>
      <w:r w:rsidR="008B177F">
        <w:rPr>
          <w:sz w:val="24"/>
        </w:rPr>
        <w:t>муниципального имущества</w:t>
      </w:r>
      <w:r w:rsidR="007F6850">
        <w:rPr>
          <w:sz w:val="24"/>
        </w:rPr>
        <w:t xml:space="preserve">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E86C83" w:rsidRDefault="00E86C83" w:rsidP="00867F2F">
      <w:pPr>
        <w:pStyle w:val="TextBasTxt"/>
        <w:spacing w:line="192" w:lineRule="auto"/>
        <w:ind w:firstLine="0"/>
      </w:pPr>
      <w:proofErr w:type="gramStart"/>
      <w:r>
        <w:t>Исполняющий</w:t>
      </w:r>
      <w:proofErr w:type="gramEnd"/>
      <w:r>
        <w:t xml:space="preserve"> обязанности</w:t>
      </w:r>
    </w:p>
    <w:p w:rsidR="00867F2F" w:rsidRDefault="00E86C83" w:rsidP="00867F2F">
      <w:pPr>
        <w:pStyle w:val="TextBasTxt"/>
        <w:spacing w:line="192" w:lineRule="auto"/>
        <w:ind w:firstLine="0"/>
      </w:pPr>
      <w:r>
        <w:t>н</w:t>
      </w:r>
      <w:r w:rsidR="00867F2F">
        <w:t>ачальник</w:t>
      </w:r>
      <w:r>
        <w:t>а</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E86C83">
        <w:t xml:space="preserve">              М.М. Мистрюкова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86C83" w:rsidRDefault="00E86C83" w:rsidP="005343E0">
      <w:pPr>
        <w:pStyle w:val="TextBasTxt"/>
        <w:spacing w:line="192" w:lineRule="auto"/>
        <w:ind w:firstLine="0"/>
        <w:jc w:val="left"/>
        <w:rPr>
          <w:sz w:val="16"/>
          <w:szCs w:val="16"/>
        </w:rPr>
      </w:pPr>
    </w:p>
    <w:p w:rsidR="00E86C83" w:rsidRDefault="00E86C83" w:rsidP="005343E0">
      <w:pPr>
        <w:pStyle w:val="TextBasTxt"/>
        <w:spacing w:line="192" w:lineRule="auto"/>
        <w:ind w:firstLine="0"/>
        <w:jc w:val="left"/>
        <w:rPr>
          <w:sz w:val="16"/>
          <w:szCs w:val="16"/>
        </w:rPr>
      </w:pPr>
    </w:p>
    <w:p w:rsidR="00E86C83" w:rsidRDefault="00E86C83" w:rsidP="005343E0">
      <w:pPr>
        <w:pStyle w:val="TextBasTxt"/>
        <w:spacing w:line="192" w:lineRule="auto"/>
        <w:ind w:firstLine="0"/>
        <w:jc w:val="left"/>
        <w:rPr>
          <w:sz w:val="16"/>
          <w:szCs w:val="16"/>
        </w:rPr>
      </w:pPr>
    </w:p>
    <w:p w:rsidR="00E86C83" w:rsidRDefault="00E86C83" w:rsidP="005343E0">
      <w:pPr>
        <w:pStyle w:val="TextBasTxt"/>
        <w:spacing w:line="192" w:lineRule="auto"/>
        <w:ind w:firstLine="0"/>
        <w:jc w:val="left"/>
        <w:rPr>
          <w:sz w:val="16"/>
          <w:szCs w:val="16"/>
        </w:rPr>
      </w:pPr>
    </w:p>
    <w:p w:rsidR="00E86C83" w:rsidRDefault="00E86C83" w:rsidP="005343E0">
      <w:pPr>
        <w:pStyle w:val="TextBasTxt"/>
        <w:spacing w:line="192" w:lineRule="auto"/>
        <w:ind w:firstLine="0"/>
        <w:jc w:val="left"/>
        <w:rPr>
          <w:sz w:val="16"/>
          <w:szCs w:val="16"/>
        </w:rPr>
      </w:pPr>
    </w:p>
    <w:p w:rsidR="00E86C83" w:rsidRDefault="00E86C83" w:rsidP="005343E0">
      <w:pPr>
        <w:pStyle w:val="TextBasTxt"/>
        <w:spacing w:line="192" w:lineRule="auto"/>
        <w:ind w:firstLine="0"/>
        <w:jc w:val="left"/>
        <w:rPr>
          <w:sz w:val="16"/>
          <w:szCs w:val="16"/>
        </w:rPr>
      </w:pPr>
    </w:p>
    <w:p w:rsidR="00E86C83" w:rsidRDefault="00E86C83" w:rsidP="005343E0">
      <w:pPr>
        <w:pStyle w:val="TextBasTxt"/>
        <w:spacing w:line="192" w:lineRule="auto"/>
        <w:ind w:firstLine="0"/>
        <w:jc w:val="left"/>
        <w:rPr>
          <w:sz w:val="16"/>
          <w:szCs w:val="16"/>
        </w:rPr>
      </w:pPr>
    </w:p>
    <w:p w:rsidR="00E86C83" w:rsidRDefault="00E86C83"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86C83">
        <w:rPr>
          <w:sz w:val="16"/>
          <w:szCs w:val="16"/>
        </w:rPr>
        <w:t>24</w:t>
      </w:r>
      <w:r w:rsidR="00711952">
        <w:rPr>
          <w:sz w:val="16"/>
          <w:szCs w:val="16"/>
        </w:rPr>
        <w:t>.</w:t>
      </w:r>
      <w:r w:rsidR="006D7307">
        <w:rPr>
          <w:sz w:val="16"/>
          <w:szCs w:val="16"/>
        </w:rPr>
        <w:t>0</w:t>
      </w:r>
      <w:r w:rsidR="00E86C83">
        <w:rPr>
          <w:sz w:val="16"/>
          <w:szCs w:val="16"/>
        </w:rPr>
        <w:t>5</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C72E8">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C72E8"/>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6C83"/>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46BC97-6EA5-41FD-9770-1D619C33F914}"/>
</file>

<file path=customXml/itemProps2.xml><?xml version="1.0" encoding="utf-8"?>
<ds:datastoreItem xmlns:ds="http://schemas.openxmlformats.org/officeDocument/2006/customXml" ds:itemID="{43E10601-E8B7-4779-B5D0-CD4C0DCA97FA}"/>
</file>

<file path=customXml/itemProps3.xml><?xml version="1.0" encoding="utf-8"?>
<ds:datastoreItem xmlns:ds="http://schemas.openxmlformats.org/officeDocument/2006/customXml" ds:itemID="{64CDD4D6-2056-4924-909F-FDC99B2E74D0}"/>
</file>

<file path=customXml/itemProps4.xml><?xml version="1.0" encoding="utf-8"?>
<ds:datastoreItem xmlns:ds="http://schemas.openxmlformats.org/officeDocument/2006/customXml" ds:itemID="{D063C050-08CB-4D47-AD6B-0599C12A5B6C}"/>
</file>

<file path=docProps/app.xml><?xml version="1.0" encoding="utf-8"?>
<Properties xmlns="http://schemas.openxmlformats.org/officeDocument/2006/extended-properties" xmlns:vt="http://schemas.openxmlformats.org/officeDocument/2006/docPropsVTypes">
  <Template>Normal</Template>
  <TotalTime>2493</TotalTime>
  <Pages>15</Pages>
  <Words>6612</Words>
  <Characters>37694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318</cp:revision>
  <cp:lastPrinted>2023-01-12T07:13:00Z</cp:lastPrinted>
  <dcterms:created xsi:type="dcterms:W3CDTF">2019-06-19T05:09:00Z</dcterms:created>
  <dcterms:modified xsi:type="dcterms:W3CDTF">2024-05-24T08:25:00Z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